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12 сентября 2016 г. N 1168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ВЫСШЕГО ОБРАЗОВАНИЯ ПО СПЕЦИАЛЬНОСТИ 30.05.03 МЕДИЦИНСКАЯ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КИБЕРНЕТИКА (УРОВЕНЬ СПЕЦИАЛИТЕТА)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 </w:t>
      </w:r>
      <w:hyperlink r:id="rId4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466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2013, N 23, ст. 2923; N 33, ст. 4386; N 37, ст. 4702; 2014, N 2, ст. 126; N 6, ст. 582; N 27, ст. 3776; 2015, N 26, ст. 3898; N 43, ст. 5976; 2016; N 2, ст. 325; N 8, ст. 1121; N 28, ст. 4741),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 </w:t>
      </w:r>
      <w:hyperlink r:id="rId5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661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2013, N 33, ст. 4377; 2014, N 38, ст. 5069; 2016, N 16, ст. 2230), приказываю: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Утвердить прилагаемый федеральный государственный образовательный стандарт высшего образования по специальности 30.05.03 Медицинская кибернетика (уровень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Признать утратившими силу: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 Министерства образования и науки Российской Федерации от 8 ноября 2010 г. N </w:t>
      </w:r>
      <w:hyperlink r:id="rId6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1119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060609 Медицинская кибернетика (квалификация (степень) "специалист")" (зарегистрирован Министерством юстиции Российской Федерации 6 декабря 2010 г., регистрационный N 19119);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пункт 20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 </w:t>
      </w:r>
      <w:hyperlink r:id="rId7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1975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28 июня 2011 г., регистрационный N 21200).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О.Ю.ВАСИЛЬЕВА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приказом Министерства образования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науки Российской Федерации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12 сентября 2016 г. N 1168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ВЫСШЕГО ОБРАЗОВАНИЯ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СПЕЦИАЛЬНОСТИ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30.05.03 МЕДИЦИНСКАЯ КИБЕРНЕТИКА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(УРОВЕНЬ СПЕЦИАЛИТЕТА)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 ОБЛАСТЬ ПРИМЕНЕНИЯ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специальности 30.05.03 Медицинская кибернетика (далее соответственно - программа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специальность).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II. ИСПОЛЬЗУЕМЫЕ СОКРАЩЕНИЯ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 - общекультурные компетенции;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ОПК - общепрофессиональные компетенции;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- профессиональные компетенции;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ФГОС ВО - федеральный государственный образовательный стандарт высшего образования;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сетевая форма - сетевая форма реализации образовательных программ.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III. ХАРАКТЕРИСТИКА СПЕЦИАЛЬНОСТИ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3.1. Получение образования по программе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допускается только в образовательной организации высшего образования (далее - организация).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3.2. Обучение по программе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организации осуществляется в очной форме обучения.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Объем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составляет 360 зачетных единиц (далее -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з.е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использованием сетевой формы,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индивидуальному учебному плану, в том числе ускоренного обучения.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3.3. Срок получения образования по программе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6 лет. Объем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очной форме обучения, реализуемый за один учебный год, составляет 60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з.е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обучении по индивидуальному учебному плану устанавливается не более срока получения образования, установленного для очной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указанной формы обучения. Объем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 один учебный год при обучении по индивидуальному учебному плану не может составлять более 75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з.е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Конкретный срок получения образования и объем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3.4. При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3.5. Реализация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возможна с использованием сетевой формы.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3.6. Образовательная деятельность по программе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IV. ХАРАКТЕРИСТИКА ПРОФЕССИОНАЛЬНОЙ ДЕЯТЕЛЬНОСТИ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ВЫПУСКНИКОВ ПРОГРАММ СПЕЦИАЛИТЕТА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4.1. Область профессиональной деятельности выпускников, освоивших программу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включает медико-кибернетические исследования, направленные на создание условий для охраны здоровья граждан.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4.2. Объектами профессиональной деятельности выпускников, освоивших программу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являются: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физические лица (пациенты);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совокупность физических лиц (популяции);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совокупность медико-кибернетических средств и технологий, направленных на создание условий для сохранения здоровья, обеспечения профилактики, диагностики и лечения заболеваний.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медицинская;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системно-аналитическая;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информационно-технологическая;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организационно-управленческая;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научно-производственная и проектная;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научно-исследовательская.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разработке и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4.4. Выпускник, освоивший программу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готов решать следующие профессиональные задачи: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медицинская деятельность: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осуществление мероприятий по формированию мотивированного отношения каждого человека к сохранению и укреплению своего здоровья и здоровья окружающих;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мероприятий по гигиеническому воспитанию и профилактике заболеваний среди населения, созданию в медицинских организациях благоприятных условий для пребывания пациентов и трудовой деятельности медицинского персонала;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диагностика заболеваний и патологических состояний пациентов;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диагностика неотложных состояний;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у населения, пациентов и членов их семей мотивации, направленной на сохранение и укрепление здоровья;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обучение населения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системно-аналитическая деятельность: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осуществление системного анализа объекта исследования в медицине и здравоохранении;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информационно-технологическая деятельность: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анализ, создание, внедрение и эксплуатация медицинских информационных систем и коммуникационных технологий;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организационно-управленческая деятельность: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труда медицинского персонала в медицинских организациях, определение функциональных обязанностей и оптимального алгоритма их осуществления;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ведение медицинской документации в медицинских организациях;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организации оценки качества оказания медицинской помощи пациентам;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соблюдение основных требований информационной безопасности;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научно-производственная и проектная деятельность: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медико-социальных и социально-экономических исследований;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участие в проведении оценки состояния здоровья населения, эпидемиологической обстановки;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планировании и проведении мероприятий по охране здоровья, улучшению здоровья населения;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оценке рисков при внедрении новых медико-кибернетических технологий в деятельность медицинских организаций;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и оформление научно-производственной и проектной документации;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научно-исследовательская деятельность: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научного исследования по актуальной проблеме;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соблюдение основных требований информационной безопасности к разработке новых методов и технологий в области здравоохранения;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и публичное представление результатов научных исследований.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V. ТРЕБОВАНИЯ К РЕЗУЛЬТАТАМ ОСВОЕНИЯ ПРОГРАММ СПЕЦИАЛИТЕТА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5.1. В результате освоения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5.2. Выпускник, освоивший программу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должен обладать следующими общекультурными компетенциями: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 к абстрактному мышлению, анализу, синтезу (ОК-1);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 (ОК-2);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саморазвитию, самореализации, самообразованию, использованию творческого потенциала (ОК-5);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использовать приемы оказания первой помощи, методы защиты в условиях чрезвычайных ситуаций (ОК-7);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(ОК-8);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 использовать основы экономических и правовых знаний в профессиональной деятельности (ОК-9);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работе в коллективе, толерантно воспринимать социальные, этнические, конфессиональные и культурные различия (ОК-10).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5.3. Выпускник, освоивший программу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должен обладать следующими общепрофессиональными компетенциями: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способностью и готовностью реализовать этические и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деонтологические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принципы в профессиональной деятельности (ОПК-2);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 и готовностью анализировать результаты собственной деятельности для предотвращения профессиональных ошибок (ОПК-3);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ведению медицинской документации (ОПК-4);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готовностью к использованию основных физико-химических, математических и </w:t>
      </w:r>
      <w:proofErr w:type="gram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иных естественнонаучных понятий</w:t>
      </w:r>
      <w:proofErr w:type="gram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методов при решении профессиональных задач (ОПК-5);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готовностью к медицинскому применению лекарственных препаратов и </w:t>
      </w:r>
      <w:proofErr w:type="gram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иных веществ</w:t>
      </w:r>
      <w:proofErr w:type="gram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их комбинаций при решении профессиональных задач (ОПК-6);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(ОПК-7);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обеспечению организации ухода за больными (ОПК-8);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применению специализированного оборудования и медицинских изделий, предусмотренных для использования в профессиональной сфере (ОПК-9).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5.4. Выпускник, освоивший программу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медицинская деятельность: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(ПК-2);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 и готовностью к применению социально-гигиенических методики сбора и медико-статистического анализа информации о показателях здоровья взрослого населения и подростков (ПК-3);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готовностью к оценке результатов лабораторных, инструментальных, </w:t>
      </w:r>
      <w:proofErr w:type="gram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патолого-анатомических</w:t>
      </w:r>
      <w:proofErr w:type="gram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иных исследований в целях распознавания состояния или установления факта наличия или отсутствия заболевания (ПК-4);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обучению взрослого населения, подростков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(ПК-5);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просветительской деятельности по устранению факторов риска и формированию навыков здорового образа жизни (ПК-6);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системно-аналитическая деятельность: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применению системного анализа в изучении биологических и организационных систем (ПК-7);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созданию математических и эвристических моделей физиологических систем для исследования свойств и поведения систем организма, внедрения их в автоматизированных системах слежения, анализа механизма действия лекарственных средств и немедикаментозных способов лечения, экспертных систем, решения задач идентификации параметров по экспериментальным и клиническим данным, выявления информативных признаков при установке диагноза и прогнозировании течения заболеваний (ПК-8);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информационно-технологическая деятельность: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готовностью разрабатывать и внедрять современные информационные технологии в здравоохранении, применять математические методы и современные </w:t>
      </w: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прикладные программные средства для обработки экспериментальных и клинико-диагностических данных, моделирования медико-биологических процессов (ПК-9);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оценке и применению технических и программных средств в здравоохранении (ПК-10);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формализации и структуризации различных типов медицинских данных для создания систем поддержки принятия медико-технологических и организационных решений (ПК-11);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организационно-управленческая деятельность: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 к применению основных принципов управления в сфере охраны здоровья граждан, в медицинских организациях и их структурных подразделениях (ПК-12);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участию в оценке качества оказания медицинской помощи с использованием основных медико-статистических показателей (ПК-13);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научно-производственная и проектная деятельность: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организации и осуществлению прикладных и практических проектов и иных мероприятий по изучению и моделированию физико-химических, биохимических, физиологических процессов и явлений, происходящих в клетке человека (ПК-14);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готовностью к проектированию автоматизированных систем различного назначения в здравоохранении (ПК-15);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научно-исследовательская деятельность: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 к определению новых областей исследования и проблем в сфере разработки информационных технологий в медицине и здравоохранении (ПК-16);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 к организации и проведению научных исследований, включая выбор цели и формулировку задач, планирование, подбор адекватных методов, сбор, обработку, анализ данных и публичное их представление с учетом требований информационной безопасности (ПК-17).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5.5. При разработке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включаются в набор требуемых результатов освоения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5.6. При разработке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конкретные области знания и (или) вид (виды) деятельности или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5.7. При разработке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VI. ТРЕБОВАНИЯ К СТРУКТУРЕ ПРОГРАММ СПЕЦИАЛИТЕТА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6.1. Структура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имеющих различную специализацию в рамках одной специальности).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6.2. Программа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состоит из следующих блоков: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Блок 2 "Практики, в том числе научно-исследовательская работа (НИР)", который в полном объеме относится к базовой части программы;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"1".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"1" Перечень специальностей высшего образования -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утвержденный приказом Министерства образования и науки Российской Федерации от 12 сентября 2013 г. N </w:t>
      </w:r>
      <w:hyperlink r:id="rId8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1061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 </w:t>
      </w:r>
      <w:hyperlink r:id="rId9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63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28 февраля 2014 г., регистрационный N 31448), от 20 августа 2014 г. N </w:t>
      </w:r>
      <w:hyperlink r:id="rId10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1033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 сентября 2014 г., регистрационный N 33947), от 13 октября 2014 г. N </w:t>
      </w:r>
      <w:hyperlink r:id="rId11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1313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13 ноября 2014 г., регистрационный N 34691), от 25 марта 2015 г. N </w:t>
      </w:r>
      <w:hyperlink r:id="rId12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270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22 апреля 2015 г., регистрационный N 36994) и от 1 октября 2015 г. N </w:t>
      </w:r>
      <w:hyperlink r:id="rId13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1080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19 октября 2015 г., регистрационный N 39355).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Структура программы </w:t>
      </w:r>
      <w:proofErr w:type="spellStart"/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специалитета</w:t>
      </w:r>
      <w:proofErr w:type="spellEnd"/>
    </w:p>
    <w:p w:rsidR="00916836" w:rsidRPr="00916836" w:rsidRDefault="00916836" w:rsidP="0091683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</w:t>
      </w: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5098"/>
        <w:gridCol w:w="3343"/>
      </w:tblGrid>
      <w:tr w:rsidR="00916836" w:rsidRPr="00916836" w:rsidTr="0091683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Структура программы </w:t>
            </w:r>
            <w:proofErr w:type="spellStart"/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Объем программы </w:t>
            </w:r>
            <w:proofErr w:type="spellStart"/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з.е</w:t>
            </w:r>
            <w:proofErr w:type="spellEnd"/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916836" w:rsidRPr="00916836" w:rsidTr="0091683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303 - 306</w:t>
            </w:r>
          </w:p>
        </w:tc>
      </w:tr>
      <w:tr w:rsidR="00916836" w:rsidRPr="00916836" w:rsidTr="009168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267 - 273</w:t>
            </w:r>
          </w:p>
        </w:tc>
      </w:tr>
      <w:tr w:rsidR="00916836" w:rsidRPr="00916836" w:rsidTr="009168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33 - 36</w:t>
            </w:r>
          </w:p>
        </w:tc>
      </w:tr>
      <w:tr w:rsidR="00916836" w:rsidRPr="00916836" w:rsidTr="0091683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Практики, в том числе научно-исследовательская работа (НИР)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45 - 51</w:t>
            </w:r>
          </w:p>
        </w:tc>
      </w:tr>
      <w:tr w:rsidR="00916836" w:rsidRPr="00916836" w:rsidTr="009168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45 - 51</w:t>
            </w:r>
          </w:p>
        </w:tc>
      </w:tr>
      <w:tr w:rsidR="00916836" w:rsidRPr="00916836" w:rsidTr="0091683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6 - 9</w:t>
            </w:r>
          </w:p>
        </w:tc>
      </w:tr>
      <w:tr w:rsidR="00916836" w:rsidRPr="00916836" w:rsidTr="009168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6 - 9</w:t>
            </w:r>
          </w:p>
        </w:tc>
      </w:tr>
      <w:tr w:rsidR="00916836" w:rsidRPr="00916836" w:rsidTr="0091683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Объем программы </w:t>
            </w:r>
            <w:proofErr w:type="spellStart"/>
            <w:r w:rsidRPr="0091683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6836" w:rsidRPr="00916836" w:rsidRDefault="00916836" w:rsidP="0091683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1683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360</w:t>
            </w:r>
          </w:p>
        </w:tc>
      </w:tr>
    </w:tbl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6.3. Дисциплины (модули) и практики, относящиеся к базовой части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являются обязательными для освоения обучающимся с учетом специализации программы, которую он осваивает. Набор дисциплин (модулей) и практик, относящихся к базовой части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6.5. Дисциплины (модули) по физической культуре и спорту реализуются в рамках: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базовой части Блока 1 "Дисциплины (модули)"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объеме не менее 72 академических часов (2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з.е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.) в очной форме обучения;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элективных дисциплин (модулей) в объеме не менее 328 академических часов. Указанные академические часы являются обязательными для освоения и в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з.е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не переводятся.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6.6. Дисциплины (модули), относящиеся к вариативной части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определяют в том числе специализацию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Набор дисциплин (модулей), относящихся к вариативной части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организация определяет самостоятельно в объеме, установленном настоящим ФГОС ВО. После выбора обучающимся специализации программы набор соответствующих дисциплин (модулей) становится обязательным для освоения обучающимся.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6.7. В Блок 2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Типы учебной практики: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клиническая практика.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 проведения учебной практики: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стационарная.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Типы производственной практики: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практика по получению первичных профессиональных умений и навыков;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клиническая практика;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научно-исследовательская практика.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Способы проведения производственной практики: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стационарная;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выездная.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разработке программ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Организация вправе предусмотреть в программе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иные типы практик дополнительно к установленным настоящим ФГОС ВО.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Учебная и (или) производственная практики могут проводиться в структурных подразделениях организации.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6.9.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"1", а также </w:t>
      </w: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Приказ Министерства здравоохранения Российской Федерации от 3 сентября 2013 г. N </w:t>
      </w:r>
      <w:hyperlink r:id="rId14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620н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в Министерстве юстиции Российской Федерации 1 ноября 2013 г., регистрационный N 30304).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6.10. При разработке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вариативной части Блока 1 "Дисциплины (модули)".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6.11. Количество часов, отведенных на занятия лекционного типа, в целом по Блоку 1 "Дисциплины (модули)"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VII. ТРЕБОВАНИЯ К УСЛОВИЯМ РЕАЛИЗАЦИИ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ПРОГРАММЫ СПЕЦИАЛИТЕТА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7.1. Общесистемные требования к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</w:t>
      </w:r>
      <w:proofErr w:type="gram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доступа</w:t>
      </w:r>
      <w:proofErr w:type="gram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</w:t>
      </w: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образовательной среды должно соответствовать законодательству Российской Федерации "1".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Федеральный закон от 27 июля 2006 г. N </w:t>
      </w:r>
      <w:hyperlink r:id="rId15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149-ФЗ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 закон от 27 июля 2006 г. N </w:t>
      </w:r>
      <w:hyperlink r:id="rId16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152-ФЗ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7.1.3. В случае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сетевой форме требования к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сетевой форме.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7.1.4. В случае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должны обеспечиваться совокупностью ресурсов указанных организаций.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 </w:t>
      </w:r>
      <w:hyperlink r:id="rId17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1н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7.2. Требования к кадровым условиям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7.2.1. Реализация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условиях гражданско-правового договора.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должна составлять не менее 70 процентов.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должна быть не менее 65 процентов.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должна быть не менее 10 процентов.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процентов</w:t>
      </w:r>
      <w:proofErr w:type="gram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7.4. Требования к финансовым условиям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16836" w:rsidRPr="00916836" w:rsidRDefault="00916836" w:rsidP="009168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7.4.1. Финансовое обеспечение реализации программы </w:t>
      </w:r>
      <w:proofErr w:type="spellStart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специалитета</w:t>
      </w:r>
      <w:proofErr w:type="spellEnd"/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 </w:t>
      </w:r>
      <w:hyperlink r:id="rId18" w:history="1">
        <w:r w:rsidRPr="0091683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1272</w:t>
        </w:r>
      </w:hyperlink>
      <w:r w:rsidRPr="00916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30 ноября 2015 г., регистрационный N 39898).</w:t>
      </w:r>
    </w:p>
    <w:p w:rsidR="005F74CF" w:rsidRPr="00916836" w:rsidRDefault="005F74CF">
      <w:pPr>
        <w:rPr>
          <w:lang w:val="en-US"/>
        </w:rPr>
      </w:pPr>
      <w:bookmarkStart w:id="0" w:name="_GoBack"/>
      <w:bookmarkEnd w:id="0"/>
    </w:p>
    <w:sectPr w:rsidR="005F74CF" w:rsidRPr="0091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E3"/>
    <w:rsid w:val="00035978"/>
    <w:rsid w:val="005F74CF"/>
    <w:rsid w:val="007A29E3"/>
    <w:rsid w:val="00916836"/>
    <w:rsid w:val="00F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F6586-C3BC-45EB-BCB2-F7DCE923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nauki-Rossii-ot-12.09.2013-N-1061/" TargetMode="External"/><Relationship Id="rId13" Type="http://schemas.openxmlformats.org/officeDocument/2006/relationships/hyperlink" Target="http://rulaws.ru/acts/Prikaz-Minobrnauki-Rossii-ot-01.10.2015-N-1080/" TargetMode="External"/><Relationship Id="rId18" Type="http://schemas.openxmlformats.org/officeDocument/2006/relationships/hyperlink" Target="http://rulaws.ru/acts/Prikaz-Minobrnauki-Rossii-ot-30.10.2015-N-12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obrnauki-Rossii-ot-31.05.2011-N-1975/" TargetMode="External"/><Relationship Id="rId12" Type="http://schemas.openxmlformats.org/officeDocument/2006/relationships/hyperlink" Target="http://rulaws.ru/acts/Prikaz-Minobrnauki-Rossii-ot-25.03.2015-N-270/" TargetMode="External"/><Relationship Id="rId17" Type="http://schemas.openxmlformats.org/officeDocument/2006/relationships/hyperlink" Target="http://rulaws.ru/acts/Prikaz-Minzdravsotsrazvitiya-RF-ot-11.01.2011-N-1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laws.ru/laws/Federalnyy-zakon-ot-27.07.2006-N-152-F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obrnauki-RF-ot-08.11.2010-N-1119/" TargetMode="External"/><Relationship Id="rId11" Type="http://schemas.openxmlformats.org/officeDocument/2006/relationships/hyperlink" Target="http://rulaws.ru/acts/Prikaz-Minobrnauki-Rossii-ot-13.10.2014-N-1313/" TargetMode="External"/><Relationship Id="rId5" Type="http://schemas.openxmlformats.org/officeDocument/2006/relationships/hyperlink" Target="http://rulaws.ru/goverment/Postanovlenie-Pravitelstva-RF-ot-05.08.2013-N-661/" TargetMode="External"/><Relationship Id="rId15" Type="http://schemas.openxmlformats.org/officeDocument/2006/relationships/hyperlink" Target="http://rulaws.ru/laws/Federalnyy-zakon-ot-27.07.2006-N-149-FZ/" TargetMode="External"/><Relationship Id="rId10" Type="http://schemas.openxmlformats.org/officeDocument/2006/relationships/hyperlink" Target="http://rulaws.ru/acts/Prikaz-Minobrnauki-Rossii-ot-20.08.2014-N-1033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03.06.2013-N-466/" TargetMode="External"/><Relationship Id="rId9" Type="http://schemas.openxmlformats.org/officeDocument/2006/relationships/hyperlink" Target="http://rulaws.ru/goverment/Postanovlenie-Pravitelstva-RF-ot-29.01.2014-N-63/" TargetMode="External"/><Relationship Id="rId14" Type="http://schemas.openxmlformats.org/officeDocument/2006/relationships/hyperlink" Target="http://rulaws.ru/acts/Prikaz-Minzdrava-Rossii-ot-03.09.2013-N-620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5362</Words>
  <Characters>30564</Characters>
  <Application>Microsoft Office Word</Application>
  <DocSecurity>0</DocSecurity>
  <Lines>254</Lines>
  <Paragraphs>71</Paragraphs>
  <ScaleCrop>false</ScaleCrop>
  <Company/>
  <LinksUpToDate>false</LinksUpToDate>
  <CharactersWithSpaces>35855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 tok</dc:creator>
  <cp:keywords/>
  <dc:description/>
  <cp:lastModifiedBy>zu tok</cp:lastModifiedBy>
  <cp:revision>3</cp:revision>
  <dcterms:created xsi:type="dcterms:W3CDTF">2016-12-16T18:05:00Z</dcterms:created>
  <dcterms:modified xsi:type="dcterms:W3CDTF">2016-12-16T18:17:00Z</dcterms:modified>
</cp:coreProperties>
</file>