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Список литературы:</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pPr>
      <w:r w:rsidDel="00000000" w:rsidR="00000000" w:rsidRPr="00000000">
        <w:rPr>
          <w:rtl w:val="0"/>
        </w:rPr>
        <w:t xml:space="preserve">Lu J, Lu Y, Wang X, et al. Prevalence, awareness, treatment, and control of hypertension in China: data from 1,7 million adults in a population-based screening study (China PEACE Million Persons Project). Lancet 2017; 390:2549.</w:t>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Torelli P, Campana V, Cervellin G, Manzoni GC. Management of primary headaches in adult Emergency Departments: a literature review, the Parma ED experience and a therapy flow chart proposal. Neurol Sci 2010; 31:545.</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Saccò M, Meschi M, Regolisti G, Detrenis S, Bianchi L, Bertorelli M, Pioli S, Magnano A, Spagnoli F, Giuri PG, Fiaccadori E, Caiazza A. The relationship between blood pressure and pain.J Clin Hypertens (Greenwich). 2013; 15:600–605. doi: 10.1111/jch.12145.</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Sharman JE, Howes FS, Head GA, McGrath BP, Stowasser M, Schlaich M, Glasziou P, Nelson MR. Home blood pressure monitoring: Australian Expert Consensus Statement. J Hypertens. 2015 Sep;33(9):1721–8. doi: 10.1097/HJH.0000000000000673.</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Russell MB, Levi N, Saltyte-Benth J, Fenger K. Tension-type headache in adolescents and adults: a population based study of 33,764 twins. Eur J Epidemiol 2006; 21:153.</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Stewart IM. Headache and hypertension.Lancet. 1953;1(26):1261–1266.</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Weiss NS. Relation of high blood pressure to headache, epistaxis, and selected other symptoms. The United States Health Examination Survey of Adults N Engl J Med. 1972;287:631–633.</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Cantillon P, Morgan M, Dundas R, et al.Patients' perceptions of changes in their blood pressure. J Hum Hypertens. 1997;11:221–225.</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The Treatment of Mild Hypertension Research Group. The Treatment of Mild Hypertension Study: a randomized, placebo‐controlled trial of a nutritional hygienic regimen along with various drug monotherapies. Arch Intern Med. </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Wiklund I, Halling K, Ryden‐Bergsten T, et al. Does lowering the blood pressure improve the mood? Quality of life results from the Hypertension Optimal Treatment (HOT) study. Blood Press. 1997;6:357–364.</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Sheps DS, Bragdon EE, Gray TF III, et al.Relation between systemic hypertension and pain perception. Am J Cardiol. 1992;70(16):3F–5F.</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Bruehl S, Burns JW, McCubbin JA.Altered cardiovascular/pain regulatory relationships in chronic pain. Int J Behav Med. 1998;5:63–75.Bruehl S, Burns JW, McCubbin JA. Altered cardiovascular/pain regulatory relationships in chronic pain. Int J Behav Med. 1998;5:63–75.</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Assarzadegan F, Asadollahi M, Hesami O, Aryani O, Mansouri B, Beladi Moghadam N. Secondary headaches attributed to arterial hypertension. Iran J Neurol. 2013;12(3):106-110.</w:t>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