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Список литературы:</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Lu J, Lu Y, Wang X, et al. Prevalence, awareness, treatment, and control of hypertension in China: data from 1,7 million adults in a population-based screening study (China PEACE Million Persons Project). Lancet 2017; 390:2549.</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Torelli P, Campana V, Cervellin G, Manzoni GC. Management of primary headaches in adult Emergency Departments: a literature review, the Parma ED experience and a therapy flow chart proposal. Neurol Sci 2010; 31:545.</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Saccò M, Meschi M, Regolisti G, Detrenis S, Bianchi L, Bertorelli M, Pioli S, Magnano A, Spagnoli F, Giuri PG, Fiaccadori E, Caiazza A. The relationship between blood pressure and pain.J Clin Hypertens (Greenwich). 2013; 15:600–605. doi: 10.1111/jch.12145.</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Sharman JE, Howes FS, Head GA, McGrath BP, Stowasser M, Schlaich M, Glasziou P, Nelson MR. Home blood pressure monitoring: Australian Expert Consensus Statement. J Hypertens. 2015 Sep;33(9):1721–8. doi: 10.1097/HJH.0000000000000673.</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Russell MB, Levi N, Saltyte-Benth J, Fenger K. Tension-type headache in adolescents and adults: a population based study of 33,764 twins. Eur J Epidemiol 2006; 21:153.</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Stewart IM. Headache and hypertension.Lancet. 1953;1(26):1261–1266.</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Weiss NS. Relation of high blood pressure to headache, epistaxis, and selected other symptoms. The United States Health Examination Survey of Adults N Engl J Med. 1972;287:631–633.</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Cantillon P, Morgan M, Dundas R, et al.Patients' perceptions of changes in their blood pressure. J Hum Hypertens. 1997;11:221–225.</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The Treatment of Mild Hypertension Research Group. The Treatment of Mild Hypertension Study: a randomized, placebo‐controlled trial of a nutritional hygienic regimen along with various drug monotherapies. Arch Intern Med.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Wiklund I, Halling K, Ryden‐Bergsten T, et al. Does lowering the blood pressure improve the mood? Quality of life results from the Hypertension Optimal Treatment (HOT) study. Blood Press. 1997;6:357–364.</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Sheps DS, Bragdon EE, Gray TF III, et al.Relation between systemic hypertension and pain perception. Am J Cardiol. 1992;70(16):3F–5F.</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Bruehl S, Burns JW, McCubbin JA.Altered cardiovascular/pain regulatory relationships in chronic pain. Int J Behav Med. 1998;5:63–75.Bruehl S, Burns JW, McCubbin JA. Altered cardiovascular/pain regulatory relationships in chronic pain. Int J Behav Med. 1998;5:63–75.</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Assarzadegan F, Asadollahi M, Hesami O, Aryani O, Mansouri B, Beladi Moghadam N. Secondary headaches attributed to arterial hypertension. Iran J Neurol. 2013;12(3):106-110.</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